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C46FA8" w:rsidRPr="00C46FA8" w14:paraId="36100BEF" w14:textId="77777777" w:rsidTr="00C46FA8">
        <w:trPr>
          <w:tblCellSpacing w:w="0" w:type="dxa"/>
        </w:trPr>
        <w:tc>
          <w:tcPr>
            <w:tcW w:w="0" w:type="auto"/>
            <w:tcMar>
              <w:top w:w="300" w:type="dxa"/>
              <w:left w:w="300" w:type="dxa"/>
              <w:bottom w:w="300" w:type="dxa"/>
              <w:right w:w="300" w:type="dxa"/>
            </w:tcMar>
            <w:vAlign w:val="center"/>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8472"/>
            </w:tblGrid>
            <w:tr w:rsidR="00C46FA8" w:rsidRPr="00C46FA8" w14:paraId="3317F7EA" w14:textId="77777777">
              <w:trPr>
                <w:tblCellSpacing w:w="0" w:type="dxa"/>
                <w:jc w:val="center"/>
              </w:trPr>
              <w:tc>
                <w:tcPr>
                  <w:tcW w:w="0" w:type="auto"/>
                  <w:shd w:val="clear" w:color="auto" w:fill="FFFFFF"/>
                  <w:tcMar>
                    <w:top w:w="300" w:type="dxa"/>
                    <w:left w:w="300" w:type="dxa"/>
                    <w:bottom w:w="300" w:type="dxa"/>
                    <w:right w:w="300" w:type="dxa"/>
                  </w:tcMar>
                  <w:vAlign w:val="center"/>
                </w:tcPr>
                <w:tbl>
                  <w:tblPr>
                    <w:tblW w:w="5000" w:type="pct"/>
                    <w:tblCellSpacing w:w="0" w:type="dxa"/>
                    <w:tblCellMar>
                      <w:left w:w="0" w:type="dxa"/>
                      <w:right w:w="0" w:type="dxa"/>
                    </w:tblCellMar>
                    <w:tblLook w:val="04A0" w:firstRow="1" w:lastRow="0" w:firstColumn="1" w:lastColumn="0" w:noHBand="0" w:noVBand="1"/>
                  </w:tblPr>
                  <w:tblGrid>
                    <w:gridCol w:w="7872"/>
                  </w:tblGrid>
                  <w:tr w:rsidR="00C46FA8" w:rsidRPr="00C46FA8" w14:paraId="4DCF0BB3" w14:textId="77777777">
                    <w:trPr>
                      <w:tblCellSpacing w:w="0" w:type="dxa"/>
                    </w:trPr>
                    <w:tc>
                      <w:tcPr>
                        <w:tcW w:w="0" w:type="auto"/>
                        <w:vAlign w:val="center"/>
                        <w:hideMark/>
                      </w:tcPr>
                      <w:p w14:paraId="2E13EF46" w14:textId="77943668" w:rsidR="00C46FA8" w:rsidRPr="00C46FA8" w:rsidRDefault="00C46FA8" w:rsidP="00C46FA8">
                        <w:r w:rsidRPr="00C46FA8">
                          <w:drawing>
                            <wp:inline distT="0" distB="0" distL="0" distR="0" wp14:anchorId="73ED4D07" wp14:editId="4DACC1D0">
                              <wp:extent cx="5715000" cy="1897380"/>
                              <wp:effectExtent l="0" t="0" r="0" b="7620"/>
                              <wp:docPr id="198017990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897380"/>
                                      </a:xfrm>
                                      <a:prstGeom prst="rect">
                                        <a:avLst/>
                                      </a:prstGeom>
                                      <a:noFill/>
                                      <a:ln>
                                        <a:noFill/>
                                      </a:ln>
                                    </pic:spPr>
                                  </pic:pic>
                                </a:graphicData>
                              </a:graphic>
                            </wp:inline>
                          </w:drawing>
                        </w:r>
                      </w:p>
                    </w:tc>
                  </w:tr>
                </w:tbl>
                <w:p w14:paraId="1B009F81" w14:textId="77777777" w:rsidR="00C46FA8" w:rsidRPr="00C46FA8" w:rsidRDefault="00C46FA8" w:rsidP="00C46FA8">
                  <w:pPr>
                    <w:rPr>
                      <w:vanish/>
                    </w:rPr>
                  </w:pPr>
                </w:p>
                <w:tbl>
                  <w:tblPr>
                    <w:tblW w:w="5000" w:type="pct"/>
                    <w:tblCellSpacing w:w="0" w:type="dxa"/>
                    <w:tblCellMar>
                      <w:left w:w="0" w:type="dxa"/>
                      <w:right w:w="0" w:type="dxa"/>
                    </w:tblCellMar>
                    <w:tblLook w:val="04A0" w:firstRow="1" w:lastRow="0" w:firstColumn="1" w:lastColumn="0" w:noHBand="0" w:noVBand="1"/>
                  </w:tblPr>
                  <w:tblGrid>
                    <w:gridCol w:w="7872"/>
                  </w:tblGrid>
                  <w:tr w:rsidR="00C46FA8" w:rsidRPr="00C46FA8" w14:paraId="057E2439" w14:textId="77777777">
                    <w:trPr>
                      <w:trHeight w:val="300"/>
                      <w:tblCellSpacing w:w="0" w:type="dxa"/>
                      <w:hidden/>
                    </w:trPr>
                    <w:tc>
                      <w:tcPr>
                        <w:tcW w:w="5000" w:type="pct"/>
                        <w:hideMark/>
                      </w:tcPr>
                      <w:p w14:paraId="01F3EAAA" w14:textId="77777777" w:rsidR="00C46FA8" w:rsidRPr="00C46FA8" w:rsidRDefault="00C46FA8" w:rsidP="00C46FA8">
                        <w:pPr>
                          <w:rPr>
                            <w:vanish/>
                          </w:rPr>
                        </w:pPr>
                      </w:p>
                    </w:tc>
                  </w:tr>
                </w:tbl>
                <w:p w14:paraId="5340557B" w14:textId="77777777" w:rsidR="00C46FA8" w:rsidRPr="00C46FA8" w:rsidRDefault="00C46FA8" w:rsidP="00C46FA8">
                  <w:pPr>
                    <w:rPr>
                      <w:vanish/>
                    </w:rPr>
                  </w:pPr>
                </w:p>
                <w:tbl>
                  <w:tblPr>
                    <w:tblW w:w="5000" w:type="pct"/>
                    <w:tblCellSpacing w:w="0" w:type="dxa"/>
                    <w:tblCellMar>
                      <w:left w:w="0" w:type="dxa"/>
                      <w:right w:w="0" w:type="dxa"/>
                    </w:tblCellMar>
                    <w:tblLook w:val="04A0" w:firstRow="1" w:lastRow="0" w:firstColumn="1" w:lastColumn="0" w:noHBand="0" w:noVBand="1"/>
                  </w:tblPr>
                  <w:tblGrid>
                    <w:gridCol w:w="7872"/>
                  </w:tblGrid>
                  <w:tr w:rsidR="00C46FA8" w:rsidRPr="00C46FA8" w14:paraId="799498E7" w14:textId="77777777">
                    <w:trPr>
                      <w:tblCellSpacing w:w="0" w:type="dxa"/>
                    </w:trPr>
                    <w:tc>
                      <w:tcPr>
                        <w:tcW w:w="0" w:type="auto"/>
                        <w:vAlign w:val="center"/>
                        <w:hideMark/>
                      </w:tcPr>
                      <w:p w14:paraId="661C380C" w14:textId="77777777" w:rsidR="00C46FA8" w:rsidRPr="00C46FA8" w:rsidRDefault="00C46FA8" w:rsidP="00C46FA8">
                        <w:r w:rsidRPr="00C46FA8">
                          <w:rPr>
                            <w:b/>
                            <w:bCs/>
                          </w:rPr>
                          <w:t>Gezamenlijk Intro Festival voor alle studenten in Eindhoven</w:t>
                        </w:r>
                        <w:r w:rsidRPr="00C46FA8">
                          <w:t> </w:t>
                        </w:r>
                      </w:p>
                      <w:p w14:paraId="639F1640" w14:textId="77777777" w:rsidR="00C46FA8" w:rsidRPr="00C46FA8" w:rsidRDefault="00C46FA8" w:rsidP="00C46FA8">
                        <w:r w:rsidRPr="00C46FA8">
                          <w:rPr>
                            <w:b/>
                            <w:bCs/>
                          </w:rPr>
                          <w:t xml:space="preserve">Op het Stadhuisplein in Eindhoven vindt woensdag 28 augustus een groots introductiefeest plaats. Dit Intro Festival is dé kans voor alle nieuwe studenten van mbo, hbo en universiteit om samen het studentenleven in Eindhoven te ontdekken en gezamenlijk de start van hun studie feestelijk te markeren. </w:t>
                        </w:r>
                        <w:r w:rsidRPr="00C46FA8">
                          <w:t> </w:t>
                        </w:r>
                        <w:r w:rsidRPr="00C46FA8">
                          <w:br/>
                          <w:t> </w:t>
                        </w:r>
                        <w:r w:rsidRPr="00C46FA8">
                          <w:br/>
                          <w:t xml:space="preserve">Het evenement is een initiatief van </w:t>
                        </w:r>
                        <w:proofErr w:type="spellStart"/>
                        <w:r w:rsidRPr="00C46FA8">
                          <w:t>Fontys</w:t>
                        </w:r>
                        <w:proofErr w:type="spellEnd"/>
                        <w:r w:rsidRPr="00C46FA8">
                          <w:t xml:space="preserve"> Hogeschool, TU Eindhoven, Summa College, </w:t>
                        </w:r>
                        <w:proofErr w:type="spellStart"/>
                        <w:r w:rsidRPr="00C46FA8">
                          <w:t>SintLucas</w:t>
                        </w:r>
                        <w:proofErr w:type="spellEnd"/>
                        <w:r w:rsidRPr="00C46FA8">
                          <w:t>, De Rooi Pannen en de gemeente Eindhoven, die het evenement financieel steunt vanuit het actieplan ‘Samen voor het mbo’. Met dit initiatief willen de partijen ervoor zorgen dat álle studenten in Eindhoven zich samen thuis voelen en actief kunnen deelnemen aan het bruisende studentenleven in de stad. De organisatie van het feest is in handen van lokale horecaondernemers. </w:t>
                        </w:r>
                        <w:r w:rsidRPr="00C46FA8">
                          <w:br/>
                          <w:t> </w:t>
                        </w:r>
                        <w:r w:rsidRPr="00C46FA8">
                          <w:br/>
                          <w:t xml:space="preserve">Het festival biedt plaats aan circa vijfduizend studenten en belooft een leuk feest te worden. Op het hoofdpodium staan bekende artiesten als </w:t>
                        </w:r>
                        <w:proofErr w:type="spellStart"/>
                        <w:r w:rsidRPr="00C46FA8">
                          <w:t>Lampegastuh</w:t>
                        </w:r>
                        <w:proofErr w:type="spellEnd"/>
                        <w:r w:rsidRPr="00C46FA8">
                          <w:t xml:space="preserve">, </w:t>
                        </w:r>
                        <w:proofErr w:type="spellStart"/>
                        <w:r w:rsidRPr="00C46FA8">
                          <w:t>Dansado</w:t>
                        </w:r>
                        <w:proofErr w:type="spellEnd"/>
                        <w:r w:rsidRPr="00C46FA8">
                          <w:t xml:space="preserve"> &amp; de Feestmeester, Johnny500, Yes-R, Lukas Prins en </w:t>
                        </w:r>
                        <w:proofErr w:type="spellStart"/>
                        <w:r w:rsidRPr="00C46FA8">
                          <w:t>Mr.Swnkls</w:t>
                        </w:r>
                        <w:proofErr w:type="spellEnd"/>
                        <w:r w:rsidRPr="00C46FA8">
                          <w:t xml:space="preserve">. Daarnaast zijn er food trucks en andere activiteiten, waaronder een </w:t>
                        </w:r>
                        <w:proofErr w:type="spellStart"/>
                        <w:r w:rsidRPr="00C46FA8">
                          <w:t>silent</w:t>
                        </w:r>
                        <w:proofErr w:type="spellEnd"/>
                        <w:r w:rsidRPr="00C46FA8">
                          <w:t xml:space="preserve"> disco. Na afloop is er voor de studenten van TU/e en </w:t>
                        </w:r>
                        <w:proofErr w:type="spellStart"/>
                        <w:r w:rsidRPr="00C46FA8">
                          <w:t>Fontys</w:t>
                        </w:r>
                        <w:proofErr w:type="spellEnd"/>
                        <w:r w:rsidRPr="00C46FA8">
                          <w:t xml:space="preserve"> de mogelijkheid om deel te nemen aan een kroegentocht op het </w:t>
                        </w:r>
                        <w:proofErr w:type="spellStart"/>
                        <w:r w:rsidRPr="00C46FA8">
                          <w:t>Stratumseind</w:t>
                        </w:r>
                        <w:proofErr w:type="spellEnd"/>
                        <w:r w:rsidRPr="00C46FA8">
                          <w:t>. </w:t>
                        </w:r>
                      </w:p>
                      <w:p w14:paraId="692572AF" w14:textId="77777777" w:rsidR="00C46FA8" w:rsidRPr="00C46FA8" w:rsidRDefault="00C46FA8" w:rsidP="00C46FA8">
                        <w:r w:rsidRPr="00C46FA8">
                          <w:t>Dit festival is meer dan alleen een feestje; hiermee wordt de samenwerking onderstreept tussen de verschillende onderwijsinstellingen en de gemeente. “Samenwerking is de grote kracht van de Brainportregio. Dat laten we ook zien door mbo-, hbo- en universitaire studenten samen te brengen, om zo een sterkere band te creëren. We zijn trots dat we dit samen kunnen neerzetten,” aldus de partijen achter het festival. “Het is belangrijk dat elke student, ongeacht zijn of haar achtergrond, gelijke kansen krijgt om te groeien, zowel persoonlijk als professioneel. Door het weghalen van schotten kunnen alle studenten gelijkwaardig meedoen.” </w:t>
                        </w:r>
                      </w:p>
                      <w:p w14:paraId="5CAD90D1" w14:textId="77777777" w:rsidR="00C46FA8" w:rsidRPr="00C46FA8" w:rsidRDefault="00C46FA8" w:rsidP="00C46FA8">
                        <w:proofErr w:type="spellStart"/>
                        <w:r w:rsidRPr="00C46FA8">
                          <w:t>Fontys</w:t>
                        </w:r>
                        <w:proofErr w:type="spellEnd"/>
                        <w:r w:rsidRPr="00C46FA8">
                          <w:t xml:space="preserve"> heeft vierduizend kaarten onder haar studenten verdeeld, de TU/e twaalfhonderd en de mbo-instellingen samen zevenhonderd. Dit festival is een driejarige pilot. De ervaringen en reacties van dit jaar worden gebruikt om in de toekomst nog beter alle studenten bij elkaar te brengen. De initiatiefnemers vinden het evenement een mooie start van de pilot, die vertrouwen geeft voor volgend jaar.  </w:t>
                        </w:r>
                      </w:p>
                      <w:p w14:paraId="09999BB0" w14:textId="77777777" w:rsidR="00C46FA8" w:rsidRPr="00C46FA8" w:rsidRDefault="00C46FA8" w:rsidP="00C46FA8">
                        <w:r w:rsidRPr="00C46FA8">
                          <w:t xml:space="preserve">Het Intro Festival begint om 16.00 uur en duurt tot 22.00 uur. Het wordt officieel geopend door wethouder Maes van Lanschot, samen met studenten van de betrokken onderwijsinstellingen, om 17:55 uur. Voor studenten die geen ticket hebben, zijn er op de dag zelf kaartjes te koop voor € 8,50, op vertoon van de studentenkaart, en online: </w:t>
                        </w:r>
                        <w:hyperlink r:id="rId5" w:tgtFrame="_blank" w:history="1">
                          <w:r w:rsidRPr="00C46FA8">
                            <w:rPr>
                              <w:rStyle w:val="Hyperlink"/>
                            </w:rPr>
                            <w:t>https://shop.ticketapp.com/ormodtqayu</w:t>
                          </w:r>
                        </w:hyperlink>
                        <w:r w:rsidRPr="00C46FA8">
                          <w:t xml:space="preserve">  </w:t>
                        </w:r>
                      </w:p>
                      <w:p w14:paraId="64F668C8" w14:textId="77777777" w:rsidR="00C46FA8" w:rsidRPr="00C46FA8" w:rsidRDefault="00C46FA8" w:rsidP="00C46FA8">
                        <w:r w:rsidRPr="00C46FA8">
                          <w:rPr>
                            <w:b/>
                            <w:bCs/>
                          </w:rPr>
                          <w:t>Einde persbericht</w:t>
                        </w:r>
                      </w:p>
                      <w:p w14:paraId="1E673CCF" w14:textId="440B4D11" w:rsidR="00C46FA8" w:rsidRPr="00C46FA8" w:rsidRDefault="00C46FA8" w:rsidP="00C46FA8">
                        <w:r w:rsidRPr="00C46FA8">
                          <w:t>+++++++++++</w:t>
                        </w:r>
                      </w:p>
                    </w:tc>
                  </w:tr>
                </w:tbl>
                <w:p w14:paraId="54BACF9A" w14:textId="77777777" w:rsidR="00C46FA8" w:rsidRPr="00C46FA8" w:rsidRDefault="00C46FA8" w:rsidP="00C46FA8">
                  <w:pPr>
                    <w:rPr>
                      <w:vanish/>
                    </w:rPr>
                  </w:pPr>
                </w:p>
                <w:p w14:paraId="45B96091" w14:textId="77777777" w:rsidR="00C46FA8" w:rsidRPr="00C46FA8" w:rsidRDefault="00C46FA8" w:rsidP="00C46FA8">
                  <w:pPr>
                    <w:rPr>
                      <w:vanish/>
                    </w:rPr>
                  </w:pPr>
                </w:p>
                <w:tbl>
                  <w:tblPr>
                    <w:tblW w:w="5000" w:type="pct"/>
                    <w:tblCellSpacing w:w="0" w:type="dxa"/>
                    <w:tblCellMar>
                      <w:left w:w="0" w:type="dxa"/>
                      <w:right w:w="0" w:type="dxa"/>
                    </w:tblCellMar>
                    <w:tblLook w:val="04A0" w:firstRow="1" w:lastRow="0" w:firstColumn="1" w:lastColumn="0" w:noHBand="0" w:noVBand="1"/>
                  </w:tblPr>
                  <w:tblGrid>
                    <w:gridCol w:w="7872"/>
                  </w:tblGrid>
                  <w:tr w:rsidR="00C46FA8" w:rsidRPr="00C46FA8" w14:paraId="50E436D8" w14:textId="77777777">
                    <w:trPr>
                      <w:tblCellSpacing w:w="0" w:type="dxa"/>
                      <w:hidden/>
                    </w:trPr>
                    <w:tc>
                      <w:tcPr>
                        <w:tcW w:w="0" w:type="auto"/>
                        <w:vAlign w:val="center"/>
                        <w:hideMark/>
                      </w:tcPr>
                      <w:p w14:paraId="73BA65E7" w14:textId="77777777" w:rsidR="00C46FA8" w:rsidRPr="00C46FA8" w:rsidRDefault="00C46FA8" w:rsidP="00C46FA8">
                        <w:pPr>
                          <w:rPr>
                            <w:vanish/>
                          </w:rPr>
                        </w:pPr>
                      </w:p>
                    </w:tc>
                  </w:tr>
                </w:tbl>
                <w:p w14:paraId="5E18D3E9" w14:textId="77777777" w:rsidR="00C46FA8" w:rsidRPr="00C46FA8" w:rsidRDefault="00C46FA8" w:rsidP="00C46FA8">
                  <w:pPr>
                    <w:rPr>
                      <w:vanish/>
                    </w:rPr>
                  </w:pPr>
                </w:p>
                <w:tbl>
                  <w:tblPr>
                    <w:tblW w:w="5000" w:type="pct"/>
                    <w:tblCellSpacing w:w="0" w:type="dxa"/>
                    <w:tblCellMar>
                      <w:left w:w="0" w:type="dxa"/>
                      <w:right w:w="0" w:type="dxa"/>
                    </w:tblCellMar>
                    <w:tblLook w:val="04A0" w:firstRow="1" w:lastRow="0" w:firstColumn="1" w:lastColumn="0" w:noHBand="0" w:noVBand="1"/>
                  </w:tblPr>
                  <w:tblGrid>
                    <w:gridCol w:w="7872"/>
                  </w:tblGrid>
                  <w:tr w:rsidR="00C46FA8" w:rsidRPr="00C46FA8" w14:paraId="34B0E767" w14:textId="77777777">
                    <w:trPr>
                      <w:trHeight w:val="300"/>
                      <w:tblCellSpacing w:w="0" w:type="dxa"/>
                      <w:hidden/>
                    </w:trPr>
                    <w:tc>
                      <w:tcPr>
                        <w:tcW w:w="5000" w:type="pct"/>
                        <w:hideMark/>
                      </w:tcPr>
                      <w:p w14:paraId="79866A82" w14:textId="77777777" w:rsidR="00C46FA8" w:rsidRPr="00C46FA8" w:rsidRDefault="00C46FA8" w:rsidP="00C46FA8">
                        <w:pPr>
                          <w:rPr>
                            <w:vanish/>
                          </w:rPr>
                        </w:pPr>
                      </w:p>
                    </w:tc>
                  </w:tr>
                </w:tbl>
                <w:p w14:paraId="01AA1CBC" w14:textId="77777777" w:rsidR="00C46FA8" w:rsidRPr="00C46FA8" w:rsidRDefault="00C46FA8" w:rsidP="00C46FA8">
                  <w:pPr>
                    <w:rPr>
                      <w:vanish/>
                    </w:rPr>
                  </w:pPr>
                </w:p>
                <w:tbl>
                  <w:tblPr>
                    <w:tblW w:w="5000" w:type="pct"/>
                    <w:tblCellSpacing w:w="0" w:type="dxa"/>
                    <w:tblCellMar>
                      <w:left w:w="0" w:type="dxa"/>
                      <w:right w:w="0" w:type="dxa"/>
                    </w:tblCellMar>
                    <w:tblLook w:val="04A0" w:firstRow="1" w:lastRow="0" w:firstColumn="1" w:lastColumn="0" w:noHBand="0" w:noVBand="1"/>
                  </w:tblPr>
                  <w:tblGrid>
                    <w:gridCol w:w="7872"/>
                  </w:tblGrid>
                  <w:tr w:rsidR="00C46FA8" w:rsidRPr="00C46FA8" w14:paraId="761F7CD5" w14:textId="77777777">
                    <w:trPr>
                      <w:tblCellSpacing w:w="0" w:type="dxa"/>
                    </w:trPr>
                    <w:tc>
                      <w:tcPr>
                        <w:tcW w:w="0" w:type="auto"/>
                        <w:vAlign w:val="center"/>
                        <w:hideMark/>
                      </w:tcPr>
                      <w:p w14:paraId="761D0241" w14:textId="77777777" w:rsidR="00C46FA8" w:rsidRPr="00C46FA8" w:rsidRDefault="00C46FA8" w:rsidP="00C46FA8">
                        <w:r w:rsidRPr="00C46FA8">
                          <w:t xml:space="preserve">Journalisten die het evenement willen bezoeken, kunnen contact opnemen met coördinator Nicolette Koot van </w:t>
                        </w:r>
                        <w:proofErr w:type="spellStart"/>
                        <w:r w:rsidRPr="00C46FA8">
                          <w:t>Fontys</w:t>
                        </w:r>
                        <w:proofErr w:type="spellEnd"/>
                        <w:r w:rsidRPr="00C46FA8">
                          <w:t xml:space="preserve">, +316 12441668, </w:t>
                        </w:r>
                        <w:hyperlink r:id="rId6" w:tgtFrame="_blank" w:history="1">
                          <w:r w:rsidRPr="00C46FA8">
                            <w:rPr>
                              <w:rStyle w:val="Hyperlink"/>
                            </w:rPr>
                            <w:t>n.koot@fontys.nl</w:t>
                          </w:r>
                        </w:hyperlink>
                        <w:r w:rsidRPr="00C46FA8">
                          <w:t>.</w:t>
                        </w:r>
                      </w:p>
                      <w:p w14:paraId="51EC6D07" w14:textId="77777777" w:rsidR="00C46FA8" w:rsidRPr="00C46FA8" w:rsidRDefault="00C46FA8" w:rsidP="00C46FA8">
                        <w:r w:rsidRPr="00C46FA8">
                          <w:t xml:space="preserve">Voor vragen aan de betrokken organisaties kunt u zich richten tot woordvoerder Wim </w:t>
                        </w:r>
                        <w:proofErr w:type="spellStart"/>
                        <w:r w:rsidRPr="00C46FA8">
                          <w:t>Pleunis</w:t>
                        </w:r>
                        <w:proofErr w:type="spellEnd"/>
                        <w:r w:rsidRPr="00C46FA8">
                          <w:t xml:space="preserve"> van </w:t>
                        </w:r>
                        <w:proofErr w:type="spellStart"/>
                        <w:r w:rsidRPr="00C46FA8">
                          <w:t>Fontys</w:t>
                        </w:r>
                        <w:proofErr w:type="spellEnd"/>
                        <w:r w:rsidRPr="00C46FA8">
                          <w:t xml:space="preserve"> (</w:t>
                        </w:r>
                        <w:hyperlink r:id="rId7" w:tgtFrame="_blank" w:history="1">
                          <w:r w:rsidRPr="00C46FA8">
                            <w:rPr>
                              <w:rStyle w:val="Hyperlink"/>
                            </w:rPr>
                            <w:t>w.pleunis@fontys.nl</w:t>
                          </w:r>
                        </w:hyperlink>
                        <w:r w:rsidRPr="00C46FA8">
                          <w:t>), woordvoerder Roel Rambags van Summa (</w:t>
                        </w:r>
                        <w:hyperlink r:id="rId8" w:tgtFrame="_blank" w:history="1">
                          <w:r w:rsidRPr="00C46FA8">
                            <w:rPr>
                              <w:rStyle w:val="Hyperlink"/>
                            </w:rPr>
                            <w:t>rawm.rambags@summacollege.nl</w:t>
                          </w:r>
                        </w:hyperlink>
                        <w:r w:rsidRPr="00C46FA8">
                          <w:t>), woordvoerder Ivo Jongsma van de TU/e (</w:t>
                        </w:r>
                        <w:hyperlink r:id="rId9" w:tgtFrame="_blank" w:history="1">
                          <w:r w:rsidRPr="00C46FA8">
                            <w:rPr>
                              <w:rStyle w:val="Hyperlink"/>
                            </w:rPr>
                            <w:t>i.l.a.jongsma@tue.nl</w:t>
                          </w:r>
                        </w:hyperlink>
                        <w:r w:rsidRPr="00C46FA8">
                          <w:t>) en woordvoerder Ilse Cornelis van de gemeente Eindhoven (</w:t>
                        </w:r>
                        <w:hyperlink r:id="rId10" w:tgtFrame="_blank" w:history="1">
                          <w:r w:rsidRPr="00C46FA8">
                            <w:rPr>
                              <w:rStyle w:val="Hyperlink"/>
                            </w:rPr>
                            <w:t>i.cornelis@eindhoven.nl</w:t>
                          </w:r>
                        </w:hyperlink>
                        <w:r w:rsidRPr="00C46FA8">
                          <w:t>).</w:t>
                        </w:r>
                      </w:p>
                    </w:tc>
                  </w:tr>
                </w:tbl>
                <w:p w14:paraId="3104E8AC" w14:textId="77777777" w:rsidR="00C46FA8" w:rsidRPr="00C46FA8" w:rsidRDefault="00C46FA8" w:rsidP="00C46FA8">
                  <w:pPr>
                    <w:rPr>
                      <w:vanish/>
                    </w:rPr>
                  </w:pPr>
                </w:p>
                <w:tbl>
                  <w:tblPr>
                    <w:tblW w:w="5000" w:type="pct"/>
                    <w:tblCellSpacing w:w="0" w:type="dxa"/>
                    <w:tblCellMar>
                      <w:left w:w="0" w:type="dxa"/>
                      <w:right w:w="0" w:type="dxa"/>
                    </w:tblCellMar>
                    <w:tblLook w:val="04A0" w:firstRow="1" w:lastRow="0" w:firstColumn="1" w:lastColumn="0" w:noHBand="0" w:noVBand="1"/>
                  </w:tblPr>
                  <w:tblGrid>
                    <w:gridCol w:w="7872"/>
                  </w:tblGrid>
                  <w:tr w:rsidR="00C46FA8" w:rsidRPr="00C46FA8" w14:paraId="65F2A19E" w14:textId="77777777">
                    <w:trPr>
                      <w:trHeight w:val="300"/>
                      <w:tblCellSpacing w:w="0" w:type="dxa"/>
                      <w:hidden/>
                    </w:trPr>
                    <w:tc>
                      <w:tcPr>
                        <w:tcW w:w="5000" w:type="pct"/>
                        <w:hideMark/>
                      </w:tcPr>
                      <w:p w14:paraId="245EDA8A" w14:textId="77777777" w:rsidR="00C46FA8" w:rsidRPr="00C46FA8" w:rsidRDefault="00C46FA8" w:rsidP="00C46FA8">
                        <w:pPr>
                          <w:rPr>
                            <w:vanish/>
                          </w:rPr>
                        </w:pPr>
                      </w:p>
                    </w:tc>
                  </w:tr>
                </w:tbl>
                <w:p w14:paraId="282F2129" w14:textId="77777777" w:rsidR="00C46FA8" w:rsidRPr="00C46FA8" w:rsidRDefault="00C46FA8" w:rsidP="00C46FA8"/>
              </w:tc>
            </w:tr>
          </w:tbl>
          <w:p w14:paraId="2DBFE710" w14:textId="3396233A" w:rsidR="00C46FA8" w:rsidRPr="00C46FA8" w:rsidRDefault="00C46FA8" w:rsidP="00C46FA8">
            <w:r w:rsidRPr="00C46FA8">
              <w:drawing>
                <wp:inline distT="0" distB="0" distL="0" distR="0" wp14:anchorId="71B0FE2D" wp14:editId="3A60EDF8">
                  <wp:extent cx="7620" cy="7620"/>
                  <wp:effectExtent l="0" t="0" r="0" b="0"/>
                  <wp:docPr id="176541233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1251D0A9" w14:textId="77777777" w:rsidR="006C5822" w:rsidRPr="00C46FA8" w:rsidRDefault="006C5822" w:rsidP="00C46FA8"/>
    <w:sectPr w:rsidR="006C5822" w:rsidRPr="00C46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A8"/>
    <w:rsid w:val="006C5822"/>
    <w:rsid w:val="00C46FA8"/>
    <w:rsid w:val="00D40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0900"/>
  <w15:chartTrackingRefBased/>
  <w15:docId w15:val="{9314907F-0373-461A-BE55-8402895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46FA8"/>
    <w:rPr>
      <w:color w:val="0563C1" w:themeColor="hyperlink"/>
      <w:u w:val="single"/>
    </w:rPr>
  </w:style>
  <w:style w:type="character" w:styleId="Onopgelostemelding">
    <w:name w:val="Unresolved Mention"/>
    <w:basedOn w:val="Standaardalinea-lettertype"/>
    <w:uiPriority w:val="99"/>
    <w:semiHidden/>
    <w:unhideWhenUsed/>
    <w:rsid w:val="00C46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575389">
      <w:bodyDiv w:val="1"/>
      <w:marLeft w:val="0"/>
      <w:marRight w:val="0"/>
      <w:marTop w:val="0"/>
      <w:marBottom w:val="0"/>
      <w:divBdr>
        <w:top w:val="none" w:sz="0" w:space="0" w:color="auto"/>
        <w:left w:val="none" w:sz="0" w:space="0" w:color="auto"/>
        <w:bottom w:val="none" w:sz="0" w:space="0" w:color="auto"/>
        <w:right w:val="none" w:sz="0" w:space="0" w:color="auto"/>
      </w:divBdr>
    </w:div>
    <w:div w:id="1228346904">
      <w:bodyDiv w:val="1"/>
      <w:marLeft w:val="0"/>
      <w:marRight w:val="0"/>
      <w:marTop w:val="0"/>
      <w:marBottom w:val="0"/>
      <w:divBdr>
        <w:top w:val="none" w:sz="0" w:space="0" w:color="auto"/>
        <w:left w:val="none" w:sz="0" w:space="0" w:color="auto"/>
        <w:bottom w:val="none" w:sz="0" w:space="0" w:color="auto"/>
        <w:right w:val="none" w:sz="0" w:space="0" w:color="auto"/>
      </w:divBdr>
    </w:div>
    <w:div w:id="1285693333">
      <w:bodyDiv w:val="1"/>
      <w:marLeft w:val="0"/>
      <w:marRight w:val="0"/>
      <w:marTop w:val="0"/>
      <w:marBottom w:val="0"/>
      <w:divBdr>
        <w:top w:val="none" w:sz="0" w:space="0" w:color="auto"/>
        <w:left w:val="none" w:sz="0" w:space="0" w:color="auto"/>
        <w:bottom w:val="none" w:sz="0" w:space="0" w:color="auto"/>
        <w:right w:val="none" w:sz="0" w:space="0" w:color="auto"/>
      </w:divBdr>
    </w:div>
    <w:div w:id="131688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wm.rambags@summacollege.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pleunis@fontys.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koot@fontys.nl" TargetMode="External"/><Relationship Id="rId11" Type="http://schemas.openxmlformats.org/officeDocument/2006/relationships/image" Target="media/image2.gif"/><Relationship Id="rId5" Type="http://schemas.openxmlformats.org/officeDocument/2006/relationships/hyperlink" Target="https://eur02.safelinks.protection.outlook.com/?url=https%3A%2F%2Fshop.ticketapp.com%2Formodtqayu&amp;data=05%7C02%7C%7C35fcfaac0c59406658e908dcc5b16106%7Ccc7df24760ce4a0f9d75704cf60efc64%7C0%7C0%7C638602612845765295%7CUnknown%7CTWFpbGZsb3d8eyJWIjoiMC4wLjAwMDAiLCJQIjoiV2luMzIiLCJBTiI6Ik1haWwiLCJXVCI6Mn0%3D%7C0%7C%7C%7C&amp;sdata=oHRgDPIdbEcEsJ4VbkuvKyLO9FOX9gsw7j37US1LS30%3D&amp;reserved=0" TargetMode="External"/><Relationship Id="rId10" Type="http://schemas.openxmlformats.org/officeDocument/2006/relationships/hyperlink" Target="mailto:i.cornelis@eindhoven.nl" TargetMode="External"/><Relationship Id="rId4" Type="http://schemas.openxmlformats.org/officeDocument/2006/relationships/image" Target="media/image1.jpeg"/><Relationship Id="rId9" Type="http://schemas.openxmlformats.org/officeDocument/2006/relationships/hyperlink" Target="mailto:i.l.a.jongsma@tu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602</Words>
  <Characters>3314</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Rambags, Roel</dc:creator>
  <cp:keywords/>
  <dc:description/>
  <cp:lastModifiedBy>Rambags, Roel</cp:lastModifiedBy>
  <cp:revision>1</cp:revision>
  <dcterms:created xsi:type="dcterms:W3CDTF">2024-08-26T10:13:00Z</dcterms:created>
  <dcterms:modified xsi:type="dcterms:W3CDTF">2024-08-26T10:15:00Z</dcterms:modified>
</cp:coreProperties>
</file>